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EEB32" w14:textId="77777777" w:rsidR="00E463D7" w:rsidRPr="00B43841" w:rsidRDefault="00E463D7" w:rsidP="00E463D7">
      <w:pPr>
        <w:rPr>
          <w:rFonts w:asciiTheme="minorHAnsi" w:hAnsiTheme="minorHAnsi"/>
          <w:sz w:val="22"/>
          <w:szCs w:val="22"/>
          <w:lang w:val="fr-FR"/>
        </w:rPr>
      </w:pPr>
    </w:p>
    <w:p w14:paraId="6EB1D13A" w14:textId="77777777" w:rsidR="00E463D7" w:rsidRPr="00B43841" w:rsidRDefault="00B43841" w:rsidP="00E463D7">
      <w:pPr>
        <w:rPr>
          <w:rFonts w:asciiTheme="minorHAnsi" w:hAnsiTheme="minorHAnsi"/>
          <w:sz w:val="22"/>
          <w:szCs w:val="22"/>
          <w:lang w:val="fr-FR"/>
        </w:rPr>
      </w:pPr>
      <w:r>
        <w:rPr>
          <w:rFonts w:ascii="Calibri" w:eastAsia="Calibri" w:hAnsi="Calibri"/>
          <w:sz w:val="22"/>
          <w:szCs w:val="22"/>
          <w:lang w:val="fr-CA"/>
        </w:rPr>
        <w:t>x octobre 2020</w:t>
      </w:r>
    </w:p>
    <w:p w14:paraId="36B485C6" w14:textId="77777777" w:rsidR="00E463D7" w:rsidRPr="00B43841" w:rsidRDefault="00E463D7" w:rsidP="00E463D7">
      <w:pPr>
        <w:rPr>
          <w:rFonts w:asciiTheme="minorHAnsi" w:hAnsiTheme="minorHAnsi" w:cs="Arial"/>
          <w:lang w:val="fr-FR"/>
        </w:rPr>
      </w:pPr>
    </w:p>
    <w:p w14:paraId="467CBF64" w14:textId="77777777" w:rsidR="00E463D7" w:rsidRPr="00B43841" w:rsidRDefault="00B43841" w:rsidP="00E463D7">
      <w:pPr>
        <w:rPr>
          <w:rFonts w:asciiTheme="minorHAnsi" w:hAnsiTheme="minorHAnsi" w:cs="Arial"/>
          <w:lang w:val="fr-FR"/>
        </w:rPr>
      </w:pPr>
      <w:r>
        <w:rPr>
          <w:rFonts w:ascii="Calibri" w:eastAsia="Calibri" w:hAnsi="Calibri" w:cs="Arial"/>
          <w:lang w:val="fr-CA"/>
        </w:rPr>
        <w:t>Chère cliente/Cher client,</w:t>
      </w:r>
    </w:p>
    <w:p w14:paraId="3AC73D97" w14:textId="77777777" w:rsidR="005570B8" w:rsidRPr="00B43841" w:rsidRDefault="005570B8">
      <w:pPr>
        <w:rPr>
          <w:rFonts w:asciiTheme="minorHAnsi" w:hAnsiTheme="minorHAnsi" w:cstheme="minorHAnsi"/>
          <w:lang w:val="fr-FR"/>
        </w:rPr>
      </w:pPr>
    </w:p>
    <w:p w14:paraId="089290AB" w14:textId="77777777" w:rsidR="0096198F" w:rsidRPr="00B43841" w:rsidRDefault="00B43841" w:rsidP="00D35B2A">
      <w:pPr>
        <w:rPr>
          <w:rFonts w:asciiTheme="minorHAnsi" w:hAnsiTheme="minorHAnsi" w:cstheme="minorHAnsi"/>
          <w:lang w:val="fr-FR"/>
        </w:rPr>
      </w:pPr>
      <w:r>
        <w:rPr>
          <w:rFonts w:ascii="Calibri" w:eastAsia="Calibri" w:hAnsi="Calibri" w:cs="Calibri"/>
          <w:lang w:val="fr-CA"/>
        </w:rPr>
        <w:t>Il y a maintenant plus de six mois que l’Organisation mondiale de la santé a déclaré la pandémie mondiale de la COVID-19, qui a bouleversé notre vie familiale et professionnelle. À mesure que la vague initiale d’infections s’est estompée et que la propagation du virus s’est stabilisée pendant les mois d’été dans la plupart des régions du Canada, nous nous sommes adaptés à la « nouvelle normalité ». À l’approche de l’automne, les taux d’infection dans certaines provinces augmentent de nouveau, ce qui augmente la possibilité de restrictions supplémentaires pour limiter la propagation du virus. Malgré l’incertitude qui perdure, j’espère que vous et votre famille allez bien.</w:t>
      </w:r>
    </w:p>
    <w:p w14:paraId="79C4962E" w14:textId="77777777" w:rsidR="0096198F" w:rsidRPr="00B43841" w:rsidRDefault="0096198F" w:rsidP="00D35B2A">
      <w:pPr>
        <w:rPr>
          <w:rFonts w:asciiTheme="minorHAnsi" w:hAnsiTheme="minorHAnsi" w:cstheme="minorHAnsi"/>
          <w:lang w:val="fr-FR"/>
        </w:rPr>
      </w:pPr>
    </w:p>
    <w:p w14:paraId="05C26D68" w14:textId="77777777" w:rsidR="002647F1" w:rsidRPr="00B43841" w:rsidRDefault="00B43841" w:rsidP="00D35B2A">
      <w:pPr>
        <w:rPr>
          <w:rFonts w:asciiTheme="minorHAnsi" w:hAnsiTheme="minorHAnsi" w:cs="Arial"/>
          <w:b/>
          <w:bCs/>
          <w:lang w:val="fr-FR"/>
        </w:rPr>
      </w:pPr>
      <w:r>
        <w:rPr>
          <w:rFonts w:ascii="Calibri" w:eastAsia="Calibri" w:hAnsi="Calibri" w:cs="Arial"/>
          <w:b/>
          <w:bCs/>
          <w:lang w:val="fr-CA"/>
        </w:rPr>
        <w:t>Marchés des capitaux au troisième trimestre</w:t>
      </w:r>
    </w:p>
    <w:p w14:paraId="0EEBEAA7" w14:textId="77777777" w:rsidR="00D35B2A" w:rsidRPr="00B43841" w:rsidRDefault="00B43841" w:rsidP="00D35B2A">
      <w:pPr>
        <w:rPr>
          <w:rFonts w:asciiTheme="minorHAnsi" w:hAnsiTheme="minorHAnsi" w:cs="Arial"/>
          <w:lang w:val="fr-FR"/>
        </w:rPr>
      </w:pPr>
      <w:r>
        <w:rPr>
          <w:rFonts w:ascii="Calibri" w:eastAsia="Calibri" w:hAnsi="Calibri" w:cs="Arial"/>
          <w:lang w:val="fr-CA"/>
        </w:rPr>
        <w:t>Se remettant de la révision à la baisse liée à la pandémie du premier trimestre, les marchés financiers ont connu une période de calme et d’optimisme relatifs tout au long de l’été 2020. Les cours des actions de nombreux marchés ont continué de s’améliorer, certains secteurs affichant une hausse marquée à mesure que les restrictions s’adoucissaient et que l’activité économique reprenait graduellement. Cependant, vers la fin du troisième trimestre, les préoccupations des investisseurs ont refait surface. Les marchés ont été ébranlés par la croissance du nombre d’infections par la COVID-19, l’incertitude liée à la prochaine élection présidentielle aux États-Unis et le stress économique prévu découlant de la réduction du soutien gouvernemental aux entreprises et aux particuliers.</w:t>
      </w:r>
    </w:p>
    <w:p w14:paraId="0B95C12B" w14:textId="77777777" w:rsidR="00D35B2A" w:rsidRPr="00B43841" w:rsidRDefault="00D35B2A" w:rsidP="00D35B2A">
      <w:pPr>
        <w:rPr>
          <w:rFonts w:asciiTheme="minorHAnsi" w:hAnsiTheme="minorHAnsi" w:cs="Arial"/>
          <w:lang w:val="fr-FR"/>
        </w:rPr>
      </w:pPr>
    </w:p>
    <w:p w14:paraId="0B204074" w14:textId="77777777" w:rsidR="00D35B2A" w:rsidRPr="00B43841" w:rsidRDefault="00B43841" w:rsidP="00D35B2A">
      <w:pPr>
        <w:rPr>
          <w:rFonts w:asciiTheme="minorHAnsi" w:hAnsiTheme="minorHAnsi" w:cs="Arial"/>
          <w:lang w:val="fr-FR"/>
        </w:rPr>
      </w:pPr>
      <w:r>
        <w:rPr>
          <w:rFonts w:ascii="Calibri" w:eastAsia="Calibri" w:hAnsi="Calibri" w:cs="Arial"/>
          <w:lang w:val="fr-CA"/>
        </w:rPr>
        <w:t>La plupart des marchés des actions mondiaux ont amorcé le trimestre de façon positive, principalement grâce à l’optimisme des investisseurs pour les secteurs qui devraient bénéficier des conditions actuelles, comme la technologie et les soins de santé. L’indice S&amp;P 500, qui représente une grande partie du marché des actions américain, a atteint un sommet historique au début de septembre avant que la volatilité ne refasse surface à la fin du trimestre. L’indice américain a terminé la période de trois mois en hausse de 6,6 % pour le trimestre et de 8,4 % pour l’année jusqu’à ce jour, en dollars canadiens. L’indice MSCI World, qui reflète les rendements des marchés des actions développés à travers le monde, a suivi une trajectoire similaire, en hausse de 5,7 % pour le trimestre et de 4,9 % pour l’année jusqu’à ce jour.</w:t>
      </w:r>
    </w:p>
    <w:p w14:paraId="6F554D99" w14:textId="77777777" w:rsidR="00D35B2A" w:rsidRPr="00B43841" w:rsidRDefault="00D35B2A" w:rsidP="00D35B2A">
      <w:pPr>
        <w:rPr>
          <w:rFonts w:asciiTheme="minorHAnsi" w:hAnsiTheme="minorHAnsi" w:cs="Arial"/>
          <w:lang w:val="fr-FR"/>
        </w:rPr>
      </w:pPr>
    </w:p>
    <w:p w14:paraId="368ECDE9" w14:textId="77777777" w:rsidR="00D35B2A" w:rsidRPr="00B43841" w:rsidRDefault="00B43841" w:rsidP="00D35B2A">
      <w:pPr>
        <w:rPr>
          <w:rFonts w:asciiTheme="minorHAnsi" w:hAnsiTheme="minorHAnsi" w:cs="Arial"/>
          <w:lang w:val="fr-FR"/>
        </w:rPr>
      </w:pPr>
      <w:r>
        <w:rPr>
          <w:rFonts w:ascii="Calibri" w:eastAsia="Calibri" w:hAnsi="Calibri" w:cs="Arial"/>
          <w:lang w:val="fr-CA"/>
        </w:rPr>
        <w:t>Au Canada, l’indice composé S&amp;P/TSX a également affiché une tendance à la hausse pendant la majeure partie de l’été, soutenu par des secteurs comme les matériaux (métaux précieux), les entreprises industrielles (sociétés de transport) et les biens de consommation de base. Malgré la faiblesse persistante du secteur de l’énergie et la volatilité générale des marchés plus tard au cours du trimestre, l’indice de référence canadien a terminé la période de trois mois avec une hausse de 4,7 %, mais il est demeuré en baisse de 3,1 % pour l’année jusqu’à ce jour.</w:t>
      </w:r>
    </w:p>
    <w:p w14:paraId="1F7E29B4" w14:textId="77777777" w:rsidR="00D35B2A" w:rsidRPr="00B43841" w:rsidRDefault="00D35B2A" w:rsidP="00D35B2A">
      <w:pPr>
        <w:rPr>
          <w:rFonts w:asciiTheme="minorHAnsi" w:hAnsiTheme="minorHAnsi" w:cs="Arial"/>
          <w:lang w:val="fr-FR"/>
        </w:rPr>
      </w:pPr>
    </w:p>
    <w:p w14:paraId="4612B1DC" w14:textId="77777777" w:rsidR="00D35B2A" w:rsidRPr="00B43841" w:rsidRDefault="00B43841" w:rsidP="00D35B2A">
      <w:pPr>
        <w:rPr>
          <w:rFonts w:asciiTheme="minorHAnsi" w:hAnsiTheme="minorHAnsi" w:cs="Arial"/>
          <w:lang w:val="fr-FR"/>
        </w:rPr>
      </w:pPr>
      <w:r>
        <w:rPr>
          <w:rFonts w:ascii="Calibri" w:eastAsia="Calibri" w:hAnsi="Calibri" w:cs="Arial"/>
          <w:lang w:val="fr-CA"/>
        </w:rPr>
        <w:t>Les banques centrales du monde entier ont continué d’évaluer l’impact économique continu de la pandémie dans l’établissement de la politique monétaire. La Réserve fédérale des États-Unis, par exemple, a fait remarquer que l’économie américaine s’était considérablement redressée, mais cela dépend beaucoup de la confiance que les consommateurs ont pour dépenser. La banque centrale a indiqué qu’elle permettrait au taux d’inflation de dépasser 2 % à mesure que l’économie se redresserait et que son taux d’intérêt cible demeurerait inchangé à de 0 à 0,25 % pour « une période prolongée ». La</w:t>
      </w:r>
      <w:r>
        <w:rPr>
          <w:rFonts w:ascii="Calibri" w:eastAsia="Calibri" w:hAnsi="Calibri" w:cs="Calibri"/>
          <w:lang w:val="fr-CA"/>
        </w:rPr>
        <w:t xml:space="preserve"> Banque du Canada a également maintenu son taux d’intérêt de référence à 0,25 % au troisième trimestre et a déclaré qu’elle maintiendrait son programme d’achat d’obligations du gouvernement à grande échelle conçu pour favoriser la liquidité dans le système financier. La baisse des taux d’intérêt a soutenu le prix des obligations au cours des derniers trimestres, de sorte que l’indice des obligations universelles FTSE Canada, une mesure générale des obligations du gouvernement et de sociétés canadiennes, a généré un rendement de 0,4 % pour le trimestre et de </w:t>
      </w:r>
      <w:r>
        <w:rPr>
          <w:rFonts w:ascii="Calibri" w:eastAsia="Calibri" w:hAnsi="Calibri" w:cs="Arial"/>
          <w:lang w:val="fr-CA"/>
        </w:rPr>
        <w:t>8 % pour l’année jusqu’à ce jour.</w:t>
      </w:r>
    </w:p>
    <w:p w14:paraId="563E2C19" w14:textId="77777777" w:rsidR="00D35B2A" w:rsidRPr="00B43841" w:rsidRDefault="00D35B2A" w:rsidP="00D35B2A">
      <w:pPr>
        <w:rPr>
          <w:rFonts w:asciiTheme="minorHAnsi" w:hAnsiTheme="minorHAnsi" w:cs="Arial"/>
          <w:lang w:val="fr-FR"/>
        </w:rPr>
      </w:pPr>
    </w:p>
    <w:p w14:paraId="2A2E997E" w14:textId="77777777" w:rsidR="00FF1F63" w:rsidRPr="00B43841" w:rsidRDefault="00B43841" w:rsidP="00FF1F63">
      <w:pPr>
        <w:rPr>
          <w:rFonts w:asciiTheme="minorHAnsi" w:hAnsiTheme="minorHAnsi" w:cstheme="minorHAnsi"/>
          <w:b/>
          <w:bCs/>
          <w:lang w:val="fr-FR"/>
        </w:rPr>
      </w:pPr>
      <w:r>
        <w:rPr>
          <w:rFonts w:ascii="Calibri" w:eastAsia="Calibri" w:hAnsi="Calibri" w:cs="Calibri"/>
          <w:b/>
          <w:bCs/>
          <w:lang w:val="fr-CA"/>
        </w:rPr>
        <w:t>À quoi pouvons-nous nous attendre maintenant?</w:t>
      </w:r>
    </w:p>
    <w:p w14:paraId="58C34B84" w14:textId="77777777" w:rsidR="00A7749F" w:rsidRPr="00B43841" w:rsidRDefault="00B43841" w:rsidP="002E18D4">
      <w:pPr>
        <w:rPr>
          <w:rFonts w:asciiTheme="minorHAnsi" w:hAnsiTheme="minorHAnsi" w:cstheme="minorHAnsi"/>
          <w:lang w:val="fr-FR"/>
        </w:rPr>
      </w:pPr>
      <w:r>
        <w:rPr>
          <w:rFonts w:ascii="Calibri" w:eastAsia="Calibri" w:hAnsi="Calibri" w:cs="Calibri"/>
          <w:lang w:val="fr-CA"/>
        </w:rPr>
        <w:t>Jusqu’à présent, 2020 nous a rappelé plusieurs leçons importantes, dont l’une est qu’il est presque impossible de synchroniser le marché. Beaucoup de gens auraient vendu leurs placements peu de temps après que le marché américain a chuté de près de 34 % en mars, croyant qu’une reprise serait loin. Mais à partir de son point le plus bas du 23 mars, l’indice S&amp;P 500 n’a mis que 140 jours à se rétablir; le rebond le plus rapide jamais enregistré. Ceux qui sont restés auraient probablement été récompensés pour leur patience, tandis que ceux qui ont vendu auraient encaissé des pertes.</w:t>
      </w:r>
    </w:p>
    <w:p w14:paraId="5734F180" w14:textId="77777777" w:rsidR="00A7749F" w:rsidRPr="00B43841" w:rsidRDefault="00A7749F" w:rsidP="002E18D4">
      <w:pPr>
        <w:rPr>
          <w:rFonts w:asciiTheme="minorHAnsi" w:hAnsiTheme="minorHAnsi" w:cstheme="minorHAnsi"/>
          <w:lang w:val="fr-FR"/>
        </w:rPr>
      </w:pPr>
    </w:p>
    <w:p w14:paraId="2521A095" w14:textId="77777777" w:rsidR="00061EF3" w:rsidRPr="00B43841" w:rsidRDefault="00B43841">
      <w:pPr>
        <w:rPr>
          <w:rFonts w:asciiTheme="minorHAnsi" w:hAnsiTheme="minorHAnsi" w:cstheme="minorHAnsi"/>
          <w:lang w:val="fr-FR"/>
        </w:rPr>
      </w:pPr>
      <w:r>
        <w:rPr>
          <w:rFonts w:ascii="Calibri" w:eastAsia="Calibri" w:hAnsi="Calibri" w:cs="Calibri"/>
          <w:lang w:val="fr-CA"/>
        </w:rPr>
        <w:t>Pour ce qui est de l’avenir, la pandémie de la COVID-19 est loin d’être terminée et aura probablement une incidence sur les marchés d’investissement pendant des mois. Les gouvernements et les banques centrales continuent de soutenir l’économie grâce à des politiques budgétaires et monétaires accommodantes, mais les perspectives économiques demeurent nébuleuses, surtout si de nouvelles restrictions pour limiter la propagation du virus deviennent nécessaires. Ne serait-ce que pour cette raison, il sera particulièrement important d’avoir une vision à long terme.</w:t>
      </w:r>
    </w:p>
    <w:p w14:paraId="161A28E2" w14:textId="77777777" w:rsidR="002647F1" w:rsidRPr="00B43841" w:rsidRDefault="00B43841" w:rsidP="002647F1">
      <w:pPr>
        <w:pStyle w:val="NormalWeb"/>
        <w:spacing w:line="240" w:lineRule="atLeast"/>
        <w:rPr>
          <w:rFonts w:asciiTheme="minorHAnsi" w:hAnsiTheme="minorHAnsi" w:cs="Arial"/>
          <w:lang w:val="fr-FR"/>
        </w:rPr>
      </w:pPr>
      <w:r>
        <w:rPr>
          <w:rFonts w:ascii="Calibri" w:eastAsia="Calibri" w:hAnsi="Calibri" w:cs="Arial"/>
          <w:lang w:val="fr-CA"/>
        </w:rPr>
        <w:t>En terminant, je voudrais vous rappeler que mon équipe et moi sommes là pour vous aider. Si vous avez des questions concernant votre portefeuille, n’hésitez pas à communiquer avec mon bureau.</w:t>
      </w:r>
    </w:p>
    <w:p w14:paraId="5DEAF7DE" w14:textId="77777777" w:rsidR="007C7F2A" w:rsidRDefault="007C7F2A" w:rsidP="002647F1">
      <w:pPr>
        <w:rPr>
          <w:rFonts w:asciiTheme="minorHAnsi" w:hAnsiTheme="minorHAnsi" w:cs="Arial"/>
          <w:lang w:val="fr-FR"/>
        </w:rPr>
      </w:pPr>
    </w:p>
    <w:p w14:paraId="65ED1CB6" w14:textId="2EF73CF9" w:rsidR="002647F1" w:rsidRPr="00B43841" w:rsidRDefault="00B43841" w:rsidP="002647F1">
      <w:pPr>
        <w:rPr>
          <w:rFonts w:asciiTheme="minorHAnsi" w:hAnsiTheme="minorHAnsi" w:cs="Arial"/>
          <w:lang w:val="fr-FR"/>
        </w:rPr>
      </w:pPr>
      <w:r>
        <w:rPr>
          <w:rFonts w:ascii="Calibri" w:eastAsia="Calibri" w:hAnsi="Calibri" w:cs="Arial"/>
          <w:lang w:val="fr-CA"/>
        </w:rPr>
        <w:t>Veuillez agréer, Madame, Monsieur, nos sincères salutations.</w:t>
      </w:r>
    </w:p>
    <w:p w14:paraId="54736D13" w14:textId="77777777" w:rsidR="002647F1" w:rsidRPr="00B43841" w:rsidRDefault="002647F1" w:rsidP="002647F1">
      <w:pPr>
        <w:rPr>
          <w:rFonts w:asciiTheme="minorHAnsi" w:hAnsiTheme="minorHAnsi" w:cs="Arial"/>
          <w:lang w:val="fr-FR"/>
        </w:rPr>
      </w:pPr>
    </w:p>
    <w:p w14:paraId="6B2C4E83" w14:textId="77777777" w:rsidR="002647F1" w:rsidRPr="00B43841" w:rsidRDefault="002647F1" w:rsidP="002647F1">
      <w:pPr>
        <w:rPr>
          <w:rFonts w:asciiTheme="minorHAnsi" w:hAnsiTheme="minorHAnsi" w:cs="Arial"/>
          <w:lang w:val="fr-FR"/>
        </w:rPr>
      </w:pPr>
    </w:p>
    <w:p w14:paraId="1DCCE4EA" w14:textId="77777777" w:rsidR="002647F1" w:rsidRPr="00B43841" w:rsidRDefault="00B43841" w:rsidP="002647F1">
      <w:pPr>
        <w:rPr>
          <w:rFonts w:asciiTheme="minorHAnsi" w:hAnsiTheme="minorHAnsi" w:cs="Arial"/>
          <w:lang w:val="fr-FR"/>
        </w:rPr>
      </w:pPr>
      <w:r>
        <w:rPr>
          <w:rFonts w:ascii="Calibri" w:eastAsia="Calibri" w:hAnsi="Calibri" w:cs="Arial"/>
          <w:lang w:val="fr-CA"/>
        </w:rPr>
        <w:t>Conseiller financier</w:t>
      </w:r>
    </w:p>
    <w:p w14:paraId="58769915" w14:textId="77777777" w:rsidR="002647F1" w:rsidRPr="00B43841" w:rsidRDefault="002647F1" w:rsidP="002647F1">
      <w:pPr>
        <w:rPr>
          <w:rFonts w:asciiTheme="minorHAnsi" w:hAnsiTheme="minorHAnsi" w:cs="Arial"/>
          <w:lang w:val="fr-FR"/>
        </w:rPr>
      </w:pPr>
    </w:p>
    <w:p w14:paraId="58DB9DAF" w14:textId="77777777" w:rsidR="002647F1" w:rsidRPr="00B43841" w:rsidRDefault="00B43841" w:rsidP="002647F1">
      <w:pPr>
        <w:pStyle w:val="Body1"/>
        <w:jc w:val="both"/>
        <w:rPr>
          <w:i/>
          <w:iCs/>
          <w:color w:val="auto"/>
          <w:sz w:val="22"/>
          <w:szCs w:val="22"/>
          <w:lang w:val="fr-FR"/>
        </w:rPr>
      </w:pPr>
      <w:r>
        <w:rPr>
          <w:rFonts w:eastAsia="Times New Roman"/>
          <w:i/>
          <w:iCs/>
          <w:color w:val="auto"/>
          <w:sz w:val="22"/>
          <w:szCs w:val="22"/>
          <w:lang w:val="fr-CA"/>
        </w:rPr>
        <w:t xml:space="preserve">L’information dans cette lettre provient de plusieurs sources, notamment Placements CI, Signature Gestion mondiale d’actifs, The Globe and Mail, National Post, Bloomberg, </w:t>
      </w:r>
      <w:proofErr w:type="spellStart"/>
      <w:r>
        <w:rPr>
          <w:rFonts w:eastAsia="Times New Roman"/>
          <w:i/>
          <w:iCs/>
          <w:color w:val="auto"/>
          <w:sz w:val="22"/>
          <w:szCs w:val="22"/>
          <w:lang w:val="fr-CA"/>
        </w:rPr>
        <w:t>Morningstar</w:t>
      </w:r>
      <w:proofErr w:type="spellEnd"/>
      <w:r>
        <w:rPr>
          <w:rFonts w:eastAsia="Times New Roman"/>
          <w:i/>
          <w:iCs/>
          <w:color w:val="auto"/>
          <w:sz w:val="22"/>
          <w:szCs w:val="22"/>
          <w:lang w:val="fr-CA"/>
        </w:rPr>
        <w:t xml:space="preserve">, Yahoo Canada Finance, et Trading </w:t>
      </w:r>
      <w:proofErr w:type="spellStart"/>
      <w:r>
        <w:rPr>
          <w:rFonts w:eastAsia="Times New Roman"/>
          <w:i/>
          <w:iCs/>
          <w:color w:val="auto"/>
          <w:sz w:val="22"/>
          <w:szCs w:val="22"/>
          <w:lang w:val="fr-CA"/>
        </w:rPr>
        <w:t>Economics</w:t>
      </w:r>
      <w:proofErr w:type="spellEnd"/>
      <w:r>
        <w:rPr>
          <w:rFonts w:eastAsia="Times New Roman"/>
          <w:i/>
          <w:iCs/>
          <w:color w:val="auto"/>
          <w:sz w:val="22"/>
          <w:szCs w:val="22"/>
          <w:lang w:val="fr-CA"/>
        </w:rPr>
        <w:t xml:space="preserve"> à diverses dates. Les renseignements sur l’indice ont été fournis par TD </w:t>
      </w:r>
      <w:proofErr w:type="spellStart"/>
      <w:r>
        <w:rPr>
          <w:rFonts w:eastAsia="Times New Roman"/>
          <w:i/>
          <w:iCs/>
          <w:color w:val="auto"/>
          <w:sz w:val="22"/>
          <w:szCs w:val="22"/>
          <w:lang w:val="fr-CA"/>
        </w:rPr>
        <w:t>Newcrest</w:t>
      </w:r>
      <w:proofErr w:type="spellEnd"/>
      <w:r>
        <w:rPr>
          <w:rFonts w:eastAsia="Times New Roman"/>
          <w:i/>
          <w:iCs/>
          <w:color w:val="auto"/>
          <w:sz w:val="22"/>
          <w:szCs w:val="22"/>
          <w:lang w:val="fr-CA"/>
        </w:rPr>
        <w:t xml:space="preserve"> et PC Bond, et tous les rendements des indices boursiers cotés sont fondés sur le rendement total (y compris les dividendes). Ce document est fourni à titre de renseignement seulement et les informations incluses pourraient changer sans avis. Tous les efforts ont été déployés pour compiler ce matériel à partir de sources fiables et des mesures raisonnables ont été prises pour en assurer l’exactitude. Les conditions de marché peuvent évoluer et avoir un impact sur les informations contenues dans ce document. Avant de donner suite à l’une ou l’autre de ces recommandations, veuillez </w:t>
      </w:r>
      <w:proofErr w:type="spellStart"/>
      <w:r>
        <w:rPr>
          <w:rFonts w:eastAsia="Times New Roman"/>
          <w:i/>
          <w:iCs/>
          <w:color w:val="auto"/>
          <w:sz w:val="22"/>
          <w:szCs w:val="22"/>
          <w:lang w:val="fr-CA"/>
        </w:rPr>
        <w:t>communiqueravec</w:t>
      </w:r>
      <w:proofErr w:type="spellEnd"/>
      <w:r>
        <w:rPr>
          <w:rFonts w:eastAsia="Times New Roman"/>
          <w:i/>
          <w:iCs/>
          <w:color w:val="auto"/>
          <w:sz w:val="22"/>
          <w:szCs w:val="22"/>
          <w:lang w:val="fr-CA"/>
        </w:rPr>
        <w:t xml:space="preserve"> moi pour obtenir des conseils financiers individuels en fonction de votre situation personnelle.</w:t>
      </w:r>
    </w:p>
    <w:p w14:paraId="7C3D215B" w14:textId="77777777" w:rsidR="007E7E89" w:rsidRPr="00B43841" w:rsidRDefault="007E7E89">
      <w:pPr>
        <w:rPr>
          <w:lang w:val="fr-FR"/>
        </w:rPr>
      </w:pPr>
    </w:p>
    <w:sectPr w:rsidR="007E7E89" w:rsidRPr="00B43841" w:rsidSect="00775A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450C9" w14:textId="77777777" w:rsidR="00CF148F" w:rsidRDefault="00CF148F" w:rsidP="00B43841">
      <w:r>
        <w:separator/>
      </w:r>
    </w:p>
  </w:endnote>
  <w:endnote w:type="continuationSeparator" w:id="0">
    <w:p w14:paraId="4D140DBB" w14:textId="77777777" w:rsidR="00CF148F" w:rsidRDefault="00CF148F" w:rsidP="00B4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D8BCF" w14:textId="77777777" w:rsidR="00CF148F" w:rsidRDefault="00CF148F" w:rsidP="00B43841">
      <w:r>
        <w:separator/>
      </w:r>
    </w:p>
  </w:footnote>
  <w:footnote w:type="continuationSeparator" w:id="0">
    <w:p w14:paraId="468B17F4" w14:textId="77777777" w:rsidR="00CF148F" w:rsidRDefault="00CF148F" w:rsidP="00B4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329F1"/>
    <w:multiLevelType w:val="hybridMultilevel"/>
    <w:tmpl w:val="1E52A2EE"/>
    <w:lvl w:ilvl="0" w:tplc="7CC61A38">
      <w:start w:val="1"/>
      <w:numFmt w:val="decimal"/>
      <w:lvlText w:val="%1."/>
      <w:lvlJc w:val="left"/>
      <w:pPr>
        <w:ind w:left="720" w:hanging="360"/>
      </w:pPr>
      <w:rPr>
        <w:rFonts w:hint="default"/>
      </w:rPr>
    </w:lvl>
    <w:lvl w:ilvl="1" w:tplc="36527948" w:tentative="1">
      <w:start w:val="1"/>
      <w:numFmt w:val="lowerLetter"/>
      <w:lvlText w:val="%2."/>
      <w:lvlJc w:val="left"/>
      <w:pPr>
        <w:ind w:left="1440" w:hanging="360"/>
      </w:pPr>
    </w:lvl>
    <w:lvl w:ilvl="2" w:tplc="231070C6" w:tentative="1">
      <w:start w:val="1"/>
      <w:numFmt w:val="lowerRoman"/>
      <w:lvlText w:val="%3."/>
      <w:lvlJc w:val="right"/>
      <w:pPr>
        <w:ind w:left="2160" w:hanging="180"/>
      </w:pPr>
    </w:lvl>
    <w:lvl w:ilvl="3" w:tplc="BCA6BAA0" w:tentative="1">
      <w:start w:val="1"/>
      <w:numFmt w:val="decimal"/>
      <w:lvlText w:val="%4."/>
      <w:lvlJc w:val="left"/>
      <w:pPr>
        <w:ind w:left="2880" w:hanging="360"/>
      </w:pPr>
    </w:lvl>
    <w:lvl w:ilvl="4" w:tplc="1E32C8A8" w:tentative="1">
      <w:start w:val="1"/>
      <w:numFmt w:val="lowerLetter"/>
      <w:lvlText w:val="%5."/>
      <w:lvlJc w:val="left"/>
      <w:pPr>
        <w:ind w:left="3600" w:hanging="360"/>
      </w:pPr>
    </w:lvl>
    <w:lvl w:ilvl="5" w:tplc="937A4BE0" w:tentative="1">
      <w:start w:val="1"/>
      <w:numFmt w:val="lowerRoman"/>
      <w:lvlText w:val="%6."/>
      <w:lvlJc w:val="right"/>
      <w:pPr>
        <w:ind w:left="4320" w:hanging="180"/>
      </w:pPr>
    </w:lvl>
    <w:lvl w:ilvl="6" w:tplc="357E73EC" w:tentative="1">
      <w:start w:val="1"/>
      <w:numFmt w:val="decimal"/>
      <w:lvlText w:val="%7."/>
      <w:lvlJc w:val="left"/>
      <w:pPr>
        <w:ind w:left="5040" w:hanging="360"/>
      </w:pPr>
    </w:lvl>
    <w:lvl w:ilvl="7" w:tplc="AE6AC858" w:tentative="1">
      <w:start w:val="1"/>
      <w:numFmt w:val="lowerLetter"/>
      <w:lvlText w:val="%8."/>
      <w:lvlJc w:val="left"/>
      <w:pPr>
        <w:ind w:left="5760" w:hanging="360"/>
      </w:pPr>
    </w:lvl>
    <w:lvl w:ilvl="8" w:tplc="5EBAA26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89"/>
    <w:rsid w:val="00026DC9"/>
    <w:rsid w:val="00061EF3"/>
    <w:rsid w:val="0009575E"/>
    <w:rsid w:val="00132E4E"/>
    <w:rsid w:val="00174762"/>
    <w:rsid w:val="00244C6C"/>
    <w:rsid w:val="002647F1"/>
    <w:rsid w:val="0028775B"/>
    <w:rsid w:val="002977A7"/>
    <w:rsid w:val="002B1022"/>
    <w:rsid w:val="002C01C4"/>
    <w:rsid w:val="002E18D4"/>
    <w:rsid w:val="00314399"/>
    <w:rsid w:val="00390944"/>
    <w:rsid w:val="00431693"/>
    <w:rsid w:val="005027FD"/>
    <w:rsid w:val="005245DF"/>
    <w:rsid w:val="00547A90"/>
    <w:rsid w:val="005570B8"/>
    <w:rsid w:val="00591333"/>
    <w:rsid w:val="006A7524"/>
    <w:rsid w:val="006E5776"/>
    <w:rsid w:val="00770E23"/>
    <w:rsid w:val="00775A13"/>
    <w:rsid w:val="007C7F2A"/>
    <w:rsid w:val="007E6A09"/>
    <w:rsid w:val="007E7E89"/>
    <w:rsid w:val="0087286C"/>
    <w:rsid w:val="00876395"/>
    <w:rsid w:val="00952B0B"/>
    <w:rsid w:val="0096198F"/>
    <w:rsid w:val="009C130D"/>
    <w:rsid w:val="009D50F7"/>
    <w:rsid w:val="009E71BF"/>
    <w:rsid w:val="00A629FA"/>
    <w:rsid w:val="00A7749F"/>
    <w:rsid w:val="00AC54E3"/>
    <w:rsid w:val="00AE13F8"/>
    <w:rsid w:val="00B36A79"/>
    <w:rsid w:val="00B43841"/>
    <w:rsid w:val="00B86214"/>
    <w:rsid w:val="00BB6A73"/>
    <w:rsid w:val="00C857CB"/>
    <w:rsid w:val="00CC6A17"/>
    <w:rsid w:val="00CF148F"/>
    <w:rsid w:val="00D15801"/>
    <w:rsid w:val="00D35B2A"/>
    <w:rsid w:val="00E02BA1"/>
    <w:rsid w:val="00E463D7"/>
    <w:rsid w:val="00F94F96"/>
    <w:rsid w:val="00FF1F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7ADE9"/>
  <w15:docId w15:val="{96357811-3E4A-4042-84CE-F00864D5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0B8"/>
    <w:pPr>
      <w:ind w:left="720"/>
      <w:contextualSpacing/>
    </w:pPr>
  </w:style>
  <w:style w:type="paragraph" w:styleId="BalloonText">
    <w:name w:val="Balloon Text"/>
    <w:basedOn w:val="Normal"/>
    <w:link w:val="BalloonTextChar"/>
    <w:uiPriority w:val="99"/>
    <w:semiHidden/>
    <w:unhideWhenUsed/>
    <w:rsid w:val="00D35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B2A"/>
    <w:rPr>
      <w:rFonts w:ascii="Segoe UI" w:hAnsi="Segoe UI" w:cs="Segoe UI"/>
      <w:sz w:val="18"/>
      <w:szCs w:val="18"/>
    </w:rPr>
  </w:style>
  <w:style w:type="character" w:styleId="CommentReference">
    <w:name w:val="annotation reference"/>
    <w:basedOn w:val="DefaultParagraphFont"/>
    <w:uiPriority w:val="99"/>
    <w:semiHidden/>
    <w:unhideWhenUsed/>
    <w:rsid w:val="00D35B2A"/>
    <w:rPr>
      <w:sz w:val="16"/>
      <w:szCs w:val="16"/>
    </w:rPr>
  </w:style>
  <w:style w:type="paragraph" w:styleId="CommentText">
    <w:name w:val="annotation text"/>
    <w:basedOn w:val="Normal"/>
    <w:link w:val="CommentTextChar"/>
    <w:uiPriority w:val="99"/>
    <w:semiHidden/>
    <w:unhideWhenUsed/>
    <w:rsid w:val="00D35B2A"/>
    <w:rPr>
      <w:sz w:val="20"/>
      <w:szCs w:val="20"/>
    </w:rPr>
  </w:style>
  <w:style w:type="character" w:customStyle="1" w:styleId="CommentTextChar">
    <w:name w:val="Comment Text Char"/>
    <w:basedOn w:val="DefaultParagraphFont"/>
    <w:link w:val="CommentText"/>
    <w:uiPriority w:val="99"/>
    <w:semiHidden/>
    <w:rsid w:val="00D35B2A"/>
    <w:rPr>
      <w:sz w:val="20"/>
      <w:szCs w:val="20"/>
    </w:rPr>
  </w:style>
  <w:style w:type="paragraph" w:customStyle="1" w:styleId="Body1">
    <w:name w:val="Body 1"/>
    <w:rsid w:val="00E463D7"/>
    <w:pPr>
      <w:outlineLvl w:val="0"/>
    </w:pPr>
    <w:rPr>
      <w:rFonts w:eastAsia="ヒラギノ角ゴ Pro W3"/>
      <w:color w:val="000000"/>
      <w:szCs w:val="20"/>
      <w:lang w:eastAsia="en-CA"/>
    </w:rPr>
  </w:style>
  <w:style w:type="paragraph" w:styleId="NormalWeb">
    <w:name w:val="Normal (Web)"/>
    <w:basedOn w:val="Normal"/>
    <w:uiPriority w:val="99"/>
    <w:unhideWhenUsed/>
    <w:rsid w:val="002647F1"/>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547A90"/>
    <w:rPr>
      <w:b/>
      <w:bCs/>
    </w:rPr>
  </w:style>
  <w:style w:type="character" w:customStyle="1" w:styleId="CommentSubjectChar">
    <w:name w:val="Comment Subject Char"/>
    <w:basedOn w:val="CommentTextChar"/>
    <w:link w:val="CommentSubject"/>
    <w:uiPriority w:val="99"/>
    <w:semiHidden/>
    <w:rsid w:val="00547A90"/>
    <w:rPr>
      <w:b/>
      <w:bCs/>
      <w:sz w:val="20"/>
      <w:szCs w:val="20"/>
    </w:rPr>
  </w:style>
  <w:style w:type="paragraph" w:styleId="Header">
    <w:name w:val="header"/>
    <w:basedOn w:val="Normal"/>
    <w:link w:val="HeaderChar"/>
    <w:uiPriority w:val="99"/>
    <w:semiHidden/>
    <w:unhideWhenUsed/>
    <w:rsid w:val="00B43841"/>
    <w:pPr>
      <w:tabs>
        <w:tab w:val="center" w:pos="4680"/>
        <w:tab w:val="right" w:pos="9360"/>
      </w:tabs>
    </w:pPr>
  </w:style>
  <w:style w:type="character" w:customStyle="1" w:styleId="HeaderChar">
    <w:name w:val="Header Char"/>
    <w:basedOn w:val="DefaultParagraphFont"/>
    <w:link w:val="Header"/>
    <w:uiPriority w:val="99"/>
    <w:semiHidden/>
    <w:rsid w:val="00B43841"/>
  </w:style>
  <w:style w:type="paragraph" w:styleId="Footer">
    <w:name w:val="footer"/>
    <w:basedOn w:val="Normal"/>
    <w:link w:val="FooterChar"/>
    <w:uiPriority w:val="99"/>
    <w:semiHidden/>
    <w:unhideWhenUsed/>
    <w:rsid w:val="00B43841"/>
    <w:pPr>
      <w:tabs>
        <w:tab w:val="center" w:pos="4680"/>
        <w:tab w:val="right" w:pos="9360"/>
      </w:tabs>
    </w:pPr>
  </w:style>
  <w:style w:type="character" w:customStyle="1" w:styleId="FooterChar">
    <w:name w:val="Footer Char"/>
    <w:basedOn w:val="DefaultParagraphFont"/>
    <w:link w:val="Footer"/>
    <w:uiPriority w:val="99"/>
    <w:semiHidden/>
    <w:rsid w:val="00B4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Fowlie, Laura</dc:creator>
  <cp:lastModifiedBy>Damji, Aly</cp:lastModifiedBy>
  <cp:revision>2</cp:revision>
  <dcterms:created xsi:type="dcterms:W3CDTF">2020-10-08T15:53:00Z</dcterms:created>
  <dcterms:modified xsi:type="dcterms:W3CDTF">2020-10-08T15:53:00Z</dcterms:modified>
</cp:coreProperties>
</file>