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3560B" w14:textId="3A586B24" w:rsidR="00425531" w:rsidRDefault="00044343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June </w:t>
      </w:r>
      <w:r w:rsidR="00114EE0">
        <w:rPr>
          <w:i/>
          <w:iCs/>
          <w:lang w:val="en-US"/>
        </w:rPr>
        <w:t>26</w:t>
      </w:r>
      <w:r w:rsidR="00756978">
        <w:rPr>
          <w:i/>
          <w:iCs/>
          <w:lang w:val="en-US"/>
        </w:rPr>
        <w:t xml:space="preserve"> </w:t>
      </w:r>
      <w:r w:rsidR="00425531" w:rsidRPr="00F55D2A">
        <w:rPr>
          <w:i/>
          <w:iCs/>
          <w:lang w:val="en-US"/>
        </w:rPr>
        <w:t>client comfort letter</w:t>
      </w:r>
      <w:r w:rsidR="00F55D2A" w:rsidRPr="00F55D2A">
        <w:rPr>
          <w:i/>
          <w:iCs/>
          <w:lang w:val="en-US"/>
        </w:rPr>
        <w:t xml:space="preserve"> (general)</w:t>
      </w:r>
    </w:p>
    <w:p w14:paraId="396821CC" w14:textId="3D29F93A" w:rsidR="00755C18" w:rsidRPr="00F55D2A" w:rsidRDefault="00044343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June </w:t>
      </w:r>
      <w:r w:rsidR="00114EE0">
        <w:rPr>
          <w:i/>
          <w:iCs/>
          <w:lang w:val="en-US"/>
        </w:rPr>
        <w:t>26</w:t>
      </w:r>
      <w:r w:rsidR="0017519D">
        <w:rPr>
          <w:i/>
          <w:iCs/>
          <w:lang w:val="en-US"/>
        </w:rPr>
        <w:t>,</w:t>
      </w:r>
      <w:r w:rsidR="00755C18">
        <w:rPr>
          <w:i/>
          <w:iCs/>
          <w:lang w:val="en-US"/>
        </w:rPr>
        <w:t xml:space="preserve"> 2020</w:t>
      </w:r>
    </w:p>
    <w:p w14:paraId="65280BBE" w14:textId="3B517963" w:rsidR="00167081" w:rsidRDefault="00A87782" w:rsidP="001603BC">
      <w:pPr>
        <w:tabs>
          <w:tab w:val="center" w:pos="4680"/>
        </w:tabs>
      </w:pPr>
      <w:bookmarkStart w:id="0" w:name="_Hlk42093728"/>
      <w:r>
        <w:t xml:space="preserve"> </w:t>
      </w:r>
      <w:r w:rsidR="00167081">
        <w:t>[Date]</w:t>
      </w:r>
      <w:r w:rsidR="001603BC">
        <w:tab/>
      </w:r>
    </w:p>
    <w:p w14:paraId="38052C78" w14:textId="23E00B8E" w:rsidR="00425531" w:rsidRDefault="00425531">
      <w:r>
        <w:t>Dear Client,</w:t>
      </w:r>
    </w:p>
    <w:p w14:paraId="799418EF" w14:textId="7EA75BBE" w:rsidR="00211C44" w:rsidRDefault="00255C87">
      <w:r>
        <w:t xml:space="preserve">I </w:t>
      </w:r>
      <w:r w:rsidR="00A11AE4">
        <w:t>hope</w:t>
      </w:r>
      <w:r w:rsidR="001B555E">
        <w:t xml:space="preserve"> </w:t>
      </w:r>
      <w:r w:rsidR="001075F9">
        <w:t>all is</w:t>
      </w:r>
      <w:r w:rsidR="001B555E">
        <w:t xml:space="preserve"> well</w:t>
      </w:r>
      <w:r w:rsidR="003D30A0">
        <w:t xml:space="preserve">. </w:t>
      </w:r>
      <w:r w:rsidR="000A4060">
        <w:t xml:space="preserve">Below </w:t>
      </w:r>
      <w:r w:rsidR="009671FA">
        <w:t>you will find</w:t>
      </w:r>
      <w:r w:rsidR="0085253C">
        <w:t xml:space="preserve"> </w:t>
      </w:r>
      <w:r w:rsidR="0017519D">
        <w:t xml:space="preserve">a </w:t>
      </w:r>
      <w:r w:rsidR="00892525">
        <w:t>summary</w:t>
      </w:r>
      <w:r w:rsidR="0017519D">
        <w:t xml:space="preserve"> </w:t>
      </w:r>
      <w:r w:rsidR="00384462">
        <w:t>of this week’s</w:t>
      </w:r>
      <w:r w:rsidR="0017519D">
        <w:t xml:space="preserve"> market</w:t>
      </w:r>
      <w:r w:rsidR="00384462">
        <w:t xml:space="preserve"> developments and </w:t>
      </w:r>
      <w:r w:rsidR="001075F9">
        <w:t>subsequent</w:t>
      </w:r>
      <w:r w:rsidR="001B555E">
        <w:t xml:space="preserve"> </w:t>
      </w:r>
      <w:r w:rsidR="00384462">
        <w:t>thoughts.</w:t>
      </w:r>
    </w:p>
    <w:p w14:paraId="54A12C0F" w14:textId="0540756E" w:rsidR="00526515" w:rsidRDefault="000B28E5" w:rsidP="00526515">
      <w:pPr>
        <w:rPr>
          <w:b/>
          <w:bCs/>
        </w:rPr>
      </w:pPr>
      <w:bookmarkStart w:id="1" w:name="_Hlk37920924"/>
      <w:r>
        <w:rPr>
          <w:b/>
          <w:bCs/>
        </w:rPr>
        <w:t xml:space="preserve">Market </w:t>
      </w:r>
      <w:r w:rsidR="00B70BA7">
        <w:rPr>
          <w:b/>
          <w:bCs/>
        </w:rPr>
        <w:t>d</w:t>
      </w:r>
      <w:r>
        <w:rPr>
          <w:b/>
          <w:bCs/>
        </w:rPr>
        <w:t>evelopments</w:t>
      </w:r>
    </w:p>
    <w:p w14:paraId="4DB47331" w14:textId="2413FF30" w:rsidR="0082395D" w:rsidRPr="005E2A5C" w:rsidRDefault="005957DE" w:rsidP="0082395D">
      <w:pPr>
        <w:pStyle w:val="ListParagraph"/>
        <w:numPr>
          <w:ilvl w:val="0"/>
          <w:numId w:val="2"/>
        </w:numPr>
        <w:spacing w:line="256" w:lineRule="auto"/>
      </w:pPr>
      <w:bookmarkStart w:id="2" w:name="_Hlk41564896"/>
      <w:r w:rsidRPr="005E2A5C">
        <w:t xml:space="preserve">North American </w:t>
      </w:r>
      <w:r w:rsidR="004C04C4" w:rsidRPr="005E2A5C">
        <w:t xml:space="preserve">equity </w:t>
      </w:r>
      <w:r w:rsidRPr="005E2A5C">
        <w:t>markets</w:t>
      </w:r>
      <w:r w:rsidR="002319BC" w:rsidRPr="005E2A5C">
        <w:t xml:space="preserve"> proved volatile </w:t>
      </w:r>
      <w:r w:rsidR="001075F9" w:rsidRPr="005E2A5C">
        <w:t>this week, reacting to increas</w:t>
      </w:r>
      <w:r w:rsidR="004B035B" w:rsidRPr="005E2A5C">
        <w:t>ing numbers of</w:t>
      </w:r>
      <w:r w:rsidR="001075F9" w:rsidRPr="005E2A5C">
        <w:t xml:space="preserve"> COVID-19 infections in 27 states</w:t>
      </w:r>
      <w:r w:rsidR="004B035B" w:rsidRPr="005E2A5C">
        <w:t xml:space="preserve"> and</w:t>
      </w:r>
      <w:r w:rsidR="001075F9" w:rsidRPr="005E2A5C">
        <w:t xml:space="preserve"> fears of new lockdowns and decreased economic activity.</w:t>
      </w:r>
      <w:r w:rsidR="0082395D" w:rsidRPr="005E2A5C">
        <w:t xml:space="preserve"> In particular, cases continued to soar in Florida, Texas, Arizona and California.</w:t>
      </w:r>
    </w:p>
    <w:p w14:paraId="2A142E54" w14:textId="7CAD6360" w:rsidR="00853731" w:rsidRPr="005E2A5C" w:rsidRDefault="001075F9">
      <w:pPr>
        <w:pStyle w:val="ListParagraph"/>
        <w:numPr>
          <w:ilvl w:val="0"/>
          <w:numId w:val="2"/>
        </w:numPr>
        <w:spacing w:line="256" w:lineRule="auto"/>
      </w:pPr>
      <w:bookmarkStart w:id="3" w:name="_Hlk37920948"/>
      <w:bookmarkEnd w:id="1"/>
      <w:r w:rsidRPr="005E2A5C">
        <w:t xml:space="preserve">The International Monetary Fund (IMF) now expects global </w:t>
      </w:r>
      <w:r w:rsidR="004B035B" w:rsidRPr="005E2A5C">
        <w:t xml:space="preserve">economic </w:t>
      </w:r>
      <w:r w:rsidRPr="005E2A5C">
        <w:t xml:space="preserve">output to contract 4.9% in 2020, with U.S. output contracting 8.0% and </w:t>
      </w:r>
      <w:r w:rsidR="00BE2594" w:rsidRPr="005E2A5C">
        <w:t>Canad</w:t>
      </w:r>
      <w:r w:rsidR="004B035B" w:rsidRPr="005E2A5C">
        <w:t>ian output</w:t>
      </w:r>
      <w:r w:rsidR="00BE2594" w:rsidRPr="005E2A5C">
        <w:t xml:space="preserve"> 8.4%.</w:t>
      </w:r>
    </w:p>
    <w:p w14:paraId="6FA0EB46" w14:textId="17B38E56" w:rsidR="00CE789D" w:rsidRPr="005E2A5C" w:rsidRDefault="00385C1B" w:rsidP="000B5320">
      <w:pPr>
        <w:pStyle w:val="ListParagraph"/>
        <w:numPr>
          <w:ilvl w:val="0"/>
          <w:numId w:val="2"/>
        </w:numPr>
        <w:spacing w:line="256" w:lineRule="auto"/>
      </w:pPr>
      <w:r w:rsidRPr="005E2A5C">
        <w:t xml:space="preserve">Ratings agency Fitch Ratings downgraded Canada's </w:t>
      </w:r>
      <w:r w:rsidR="00CE789D" w:rsidRPr="005E2A5C">
        <w:t>credit</w:t>
      </w:r>
      <w:r w:rsidRPr="005E2A5C">
        <w:t xml:space="preserve"> </w:t>
      </w:r>
      <w:r w:rsidR="004B035B" w:rsidRPr="005E2A5C">
        <w:t xml:space="preserve">rating </w:t>
      </w:r>
      <w:r w:rsidRPr="005E2A5C">
        <w:t xml:space="preserve">to 'AA+' from 'AAA' </w:t>
      </w:r>
      <w:r w:rsidR="00CE789D" w:rsidRPr="005E2A5C">
        <w:t xml:space="preserve">to reflect the deterioration of public finances due to COVID-19. </w:t>
      </w:r>
    </w:p>
    <w:p w14:paraId="30311DBD" w14:textId="01A94CE7" w:rsidR="00A11AE4" w:rsidRPr="005E2A5C" w:rsidRDefault="00CE789D" w:rsidP="000B5320">
      <w:pPr>
        <w:pStyle w:val="ListParagraph"/>
        <w:numPr>
          <w:ilvl w:val="0"/>
          <w:numId w:val="2"/>
        </w:numPr>
        <w:spacing w:line="256" w:lineRule="auto"/>
      </w:pPr>
      <w:r w:rsidRPr="005E2A5C">
        <w:t xml:space="preserve">New Bank of Canada Governor Tiff </w:t>
      </w:r>
      <w:proofErr w:type="spellStart"/>
      <w:r w:rsidRPr="005E2A5C">
        <w:t>Macklem</w:t>
      </w:r>
      <w:proofErr w:type="spellEnd"/>
      <w:r w:rsidRPr="005E2A5C">
        <w:t xml:space="preserve"> said that Canada’s economy will take a long time to fully recover from lockdowns, requiring the central bank to continue purchas</w:t>
      </w:r>
      <w:r w:rsidR="0082395D" w:rsidRPr="005E2A5C">
        <w:t>ing</w:t>
      </w:r>
      <w:r w:rsidRPr="005E2A5C">
        <w:t xml:space="preserve"> government bonds to keep interest rates low indefinitely</w:t>
      </w:r>
      <w:r w:rsidR="0082395D" w:rsidRPr="005E2A5C">
        <w:t>.</w:t>
      </w:r>
    </w:p>
    <w:p w14:paraId="56F7E287" w14:textId="56C1D6A1" w:rsidR="0082395D" w:rsidRPr="005E2A5C" w:rsidRDefault="0082395D" w:rsidP="00A845D8">
      <w:pPr>
        <w:pStyle w:val="ListParagraph"/>
        <w:numPr>
          <w:ilvl w:val="0"/>
          <w:numId w:val="2"/>
        </w:numPr>
      </w:pPr>
      <w:r w:rsidRPr="005E2A5C">
        <w:t>President Donald Trump said that a second stimulus bill was coming and would likely be announced in the next few weeks.</w:t>
      </w:r>
      <w:r w:rsidR="00A845D8" w:rsidRPr="005E2A5C">
        <w:t xml:space="preserve"> Weekly jobless claims in the U.S. were 1.48 million, and real gross domestic product (GDP) contracted at an annual rate of 5.0% in the first quarter of 2020.</w:t>
      </w:r>
    </w:p>
    <w:bookmarkEnd w:id="2"/>
    <w:bookmarkEnd w:id="3"/>
    <w:p w14:paraId="003D4B39" w14:textId="3F3D4BDA" w:rsidR="00227FCD" w:rsidRPr="005E2A5C" w:rsidRDefault="00227FCD" w:rsidP="00420514">
      <w:pPr>
        <w:rPr>
          <w:b/>
          <w:bCs/>
        </w:rPr>
      </w:pPr>
      <w:r w:rsidRPr="005E2A5C">
        <w:rPr>
          <w:b/>
          <w:bCs/>
        </w:rPr>
        <w:t>H</w:t>
      </w:r>
      <w:r w:rsidR="0066073F" w:rsidRPr="005E2A5C">
        <w:rPr>
          <w:b/>
          <w:bCs/>
        </w:rPr>
        <w:t>ow</w:t>
      </w:r>
      <w:r w:rsidRPr="005E2A5C">
        <w:rPr>
          <w:b/>
          <w:bCs/>
        </w:rPr>
        <w:t xml:space="preserve"> </w:t>
      </w:r>
      <w:r w:rsidR="00207F4A" w:rsidRPr="005E2A5C">
        <w:rPr>
          <w:b/>
          <w:bCs/>
        </w:rPr>
        <w:t>does this affect</w:t>
      </w:r>
      <w:r w:rsidRPr="005E2A5C">
        <w:rPr>
          <w:b/>
          <w:bCs/>
        </w:rPr>
        <w:t xml:space="preserve"> my investments? </w:t>
      </w:r>
    </w:p>
    <w:p w14:paraId="1D9BDBE1" w14:textId="0F216636" w:rsidR="00B5473B" w:rsidRPr="005E2A5C" w:rsidRDefault="005163F6" w:rsidP="00B46470">
      <w:r w:rsidRPr="005E2A5C">
        <w:t xml:space="preserve">A resurgence of COVID-19 cases across the United States has caused investors to consider the implications of a second series of </w:t>
      </w:r>
      <w:proofErr w:type="gramStart"/>
      <w:r w:rsidRPr="005E2A5C">
        <w:t>lockdowns,</w:t>
      </w:r>
      <w:proofErr w:type="gramEnd"/>
      <w:r w:rsidRPr="005E2A5C">
        <w:t xml:space="preserve"> something many hoped would be unnecessary moving forward. As economic forecasts continue to show the damage </w:t>
      </w:r>
      <w:r w:rsidR="004B035B" w:rsidRPr="005E2A5C">
        <w:t xml:space="preserve">caused by the pandemic, </w:t>
      </w:r>
      <w:r w:rsidRPr="005E2A5C">
        <w:t xml:space="preserve">it is understandable that sentiment </w:t>
      </w:r>
      <w:r w:rsidR="002319BC" w:rsidRPr="005E2A5C">
        <w:t>may turn bearish in the short term.</w:t>
      </w:r>
    </w:p>
    <w:p w14:paraId="7A73F8CF" w14:textId="5C475B90" w:rsidR="00323F3A" w:rsidRDefault="00982BCF" w:rsidP="00B46470">
      <w:r w:rsidRPr="005E2A5C">
        <w:t>W</w:t>
      </w:r>
      <w:r w:rsidR="005163F6" w:rsidRPr="005E2A5C">
        <w:t xml:space="preserve">ith that </w:t>
      </w:r>
      <w:proofErr w:type="gramStart"/>
      <w:r w:rsidR="005163F6" w:rsidRPr="005E2A5C">
        <w:t>said,</w:t>
      </w:r>
      <w:proofErr w:type="gramEnd"/>
      <w:r w:rsidR="005163F6" w:rsidRPr="005E2A5C">
        <w:t xml:space="preserve"> our decision to stick with our long-term plan even when markets hit their lows in March ultimately proved prudent, and my advice is to continue to do so, even when sentiment appears to change. </w:t>
      </w:r>
      <w:r w:rsidR="0044275C" w:rsidRPr="005E2A5C">
        <w:t>The chart below serves to illustrate this point, demonstrating th</w:t>
      </w:r>
      <w:r w:rsidR="00A845D8" w:rsidRPr="005E2A5C">
        <w:t>at often times when investors turn</w:t>
      </w:r>
      <w:r w:rsidR="0044275C" w:rsidRPr="005E2A5C">
        <w:t xml:space="preserve"> </w:t>
      </w:r>
      <w:r w:rsidR="00A845D8" w:rsidRPr="005E2A5C">
        <w:t>increasingly</w:t>
      </w:r>
      <w:r w:rsidR="0044275C" w:rsidRPr="005E2A5C">
        <w:t xml:space="preserve"> bearish</w:t>
      </w:r>
      <w:r w:rsidR="00A845D8" w:rsidRPr="005E2A5C">
        <w:t>, markets may be poised to move the other way.</w:t>
      </w:r>
      <w:r w:rsidR="00A845D8">
        <w:t xml:space="preserve"> </w:t>
      </w:r>
    </w:p>
    <w:p w14:paraId="5989FDFD" w14:textId="77777777" w:rsidR="0044275C" w:rsidRDefault="0044275C" w:rsidP="00B46470"/>
    <w:p w14:paraId="3FAAA51B" w14:textId="77777777" w:rsidR="00A87782" w:rsidRDefault="00A87782" w:rsidP="00B46470"/>
    <w:p w14:paraId="108CC3FE" w14:textId="77777777" w:rsidR="00A87782" w:rsidRDefault="00A87782" w:rsidP="00B46470"/>
    <w:p w14:paraId="78CC2F77" w14:textId="77777777" w:rsidR="0044275C" w:rsidRDefault="0044275C" w:rsidP="00B46470"/>
    <w:p w14:paraId="31AAB3CC" w14:textId="77777777" w:rsidR="0044275C" w:rsidRDefault="0044275C" w:rsidP="00B46470"/>
    <w:p w14:paraId="79F8F4A2" w14:textId="77777777" w:rsidR="0044275C" w:rsidRDefault="0044275C" w:rsidP="00B46470"/>
    <w:p w14:paraId="1B6C1919" w14:textId="58E42F58" w:rsidR="0044275C" w:rsidRDefault="0044275C" w:rsidP="00B46470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92C05" wp14:editId="667737F9">
                <wp:simplePos x="0" y="0"/>
                <wp:positionH relativeFrom="column">
                  <wp:posOffset>-675249</wp:posOffset>
                </wp:positionH>
                <wp:positionV relativeFrom="paragraph">
                  <wp:posOffset>-513471</wp:posOffset>
                </wp:positionV>
                <wp:extent cx="7399313" cy="4283613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9313" cy="4283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6E499" w14:textId="0CD73499" w:rsidR="0044275C" w:rsidRDefault="0044275C" w:rsidP="0044275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098E6D" wp14:editId="2DC15CDC">
                                  <wp:extent cx="7231203" cy="4107766"/>
                                  <wp:effectExtent l="0" t="0" r="8255" b="7620"/>
                                  <wp:docPr id="2" name="Picture 2" descr="A screenshot of a ma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arketVolatilityChartPackQ12020INV3_012.png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92" t="7537" r="6379" b="52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6564" cy="4139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F92C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3.15pt;margin-top:-40.45pt;width:582.6pt;height:3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" filled="f" stroked="f" strokeweight=".5pt">
                <v:textbox>
                  <w:txbxContent>
                    <w:p w14:paraId="5536E499" w14:textId="0CD73499" w:rsidR="0044275C" w:rsidRDefault="0044275C" w:rsidP="004427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098E6D" wp14:editId="2DC15CDC">
                            <wp:extent cx="7231203" cy="4107766"/>
                            <wp:effectExtent l="0" t="0" r="8255" b="7620"/>
                            <wp:docPr id="2" name="Picture 2" descr="A screenshot of a ma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arketVolatilityChartPackQ12020INV3_012.pn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92" t="7537" r="6379" b="52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86564" cy="41392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7934D6" w14:textId="77777777" w:rsidR="0044275C" w:rsidRDefault="0044275C" w:rsidP="00B46470"/>
    <w:p w14:paraId="539ED960" w14:textId="77777777" w:rsidR="0044275C" w:rsidRDefault="0044275C" w:rsidP="00B46470"/>
    <w:p w14:paraId="5338D2C8" w14:textId="77777777" w:rsidR="0044275C" w:rsidRDefault="0044275C" w:rsidP="00B46470"/>
    <w:p w14:paraId="4F611036" w14:textId="77777777" w:rsidR="0044275C" w:rsidRDefault="0044275C" w:rsidP="00B46470"/>
    <w:p w14:paraId="79CD53F0" w14:textId="77777777" w:rsidR="0044275C" w:rsidRDefault="0044275C" w:rsidP="00B46470"/>
    <w:p w14:paraId="67CA401A" w14:textId="77777777" w:rsidR="0044275C" w:rsidRDefault="0044275C" w:rsidP="00B46470"/>
    <w:p w14:paraId="7F9B56C3" w14:textId="77777777" w:rsidR="0044275C" w:rsidRDefault="0044275C" w:rsidP="00B46470"/>
    <w:p w14:paraId="43FFB8D2" w14:textId="77777777" w:rsidR="0044275C" w:rsidRDefault="0044275C" w:rsidP="00B46470"/>
    <w:p w14:paraId="59634F55" w14:textId="77777777" w:rsidR="0044275C" w:rsidRDefault="0044275C" w:rsidP="00B46470"/>
    <w:bookmarkStart w:id="4" w:name="_GoBack"/>
    <w:bookmarkEnd w:id="4"/>
    <w:p w14:paraId="3217DD1A" w14:textId="3F7B30A8" w:rsidR="0044275C" w:rsidRDefault="002023C8" w:rsidP="00B4647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B2387" wp14:editId="53F8BBE3">
                <wp:simplePos x="0" y="0"/>
                <wp:positionH relativeFrom="column">
                  <wp:posOffset>-611945</wp:posOffset>
                </wp:positionH>
                <wp:positionV relativeFrom="paragraph">
                  <wp:posOffset>337136</wp:posOffset>
                </wp:positionV>
                <wp:extent cx="7103892" cy="485140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892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B1F6D" w14:textId="16D0A0C3" w:rsidR="008E5D72" w:rsidRPr="008E5D72" w:rsidRDefault="002023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E5D72" w:rsidRPr="008E5D72">
                              <w:rPr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r w:rsidR="00E12B84" w:rsidRPr="008E5D72">
                              <w:rPr>
                                <w:sz w:val="20"/>
                                <w:szCs w:val="20"/>
                              </w:rPr>
                              <w:t>Bloomberg</w:t>
                            </w:r>
                            <w:r w:rsidR="00E12B84">
                              <w:rPr>
                                <w:sz w:val="20"/>
                                <w:szCs w:val="20"/>
                              </w:rPr>
                              <w:t xml:space="preserve"> Finance L.P.</w:t>
                            </w:r>
                            <w:r w:rsidR="008E5D72" w:rsidRPr="008E5D72">
                              <w:rPr>
                                <w:sz w:val="20"/>
                                <w:szCs w:val="20"/>
                              </w:rPr>
                              <w:t>, CI Investments. S&amp;P 500 TR in USD, as of March 31, 2020 using monthly returns.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AB23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48.2pt;margin-top:26.55pt;width:559.3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" fillcolor="white [3201]" stroked="f" strokeweight=".5pt">
                <v:textbox>
                  <w:txbxContent>
                    <w:p w14:paraId="080B1F6D" w14:textId="16D0A0C3" w:rsidR="008E5D72" w:rsidRPr="008E5D72" w:rsidRDefault="002023C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8E5D72" w:rsidRPr="008E5D72">
                        <w:rPr>
                          <w:sz w:val="20"/>
                          <w:szCs w:val="20"/>
                        </w:rPr>
                        <w:t xml:space="preserve">Source: </w:t>
                      </w:r>
                      <w:r w:rsidR="00E12B84" w:rsidRPr="008E5D72">
                        <w:rPr>
                          <w:sz w:val="20"/>
                          <w:szCs w:val="20"/>
                        </w:rPr>
                        <w:t>Bloomberg</w:t>
                      </w:r>
                      <w:r w:rsidR="00E12B84">
                        <w:rPr>
                          <w:sz w:val="20"/>
                          <w:szCs w:val="20"/>
                        </w:rPr>
                        <w:t xml:space="preserve"> Finance L.P.</w:t>
                      </w:r>
                      <w:bookmarkStart w:id="5" w:name="_GoBack"/>
                      <w:bookmarkEnd w:id="5"/>
                      <w:r w:rsidR="008E5D72" w:rsidRPr="008E5D72">
                        <w:rPr>
                          <w:sz w:val="20"/>
                          <w:szCs w:val="20"/>
                        </w:rPr>
                        <w:t>, CI Investments. S&amp;P 500 TR in USD, as of March 31, 2020 using monthly returns.</w:t>
                      </w:r>
                    </w:p>
                  </w:txbxContent>
                </v:textbox>
              </v:shape>
            </w:pict>
          </mc:Fallback>
        </mc:AlternateContent>
      </w:r>
    </w:p>
    <w:p w14:paraId="408F7FA9" w14:textId="3C12FCDB" w:rsidR="0044275C" w:rsidRDefault="0044275C" w:rsidP="00B46470"/>
    <w:p w14:paraId="5BB6F7A1" w14:textId="174F5BA5" w:rsidR="0044275C" w:rsidRDefault="0044275C" w:rsidP="00B46470"/>
    <w:p w14:paraId="383EBEFA" w14:textId="6CF32566" w:rsidR="00B46470" w:rsidRDefault="00E91667" w:rsidP="00B46470">
      <w:r>
        <w:t>I</w:t>
      </w:r>
      <w:r w:rsidR="005163F6">
        <w:t xml:space="preserve"> am always</w:t>
      </w:r>
      <w:r>
        <w:t xml:space="preserve"> happy to discuss your investment plans</w:t>
      </w:r>
      <w:r w:rsidR="00B46470">
        <w:t>. P</w:t>
      </w:r>
      <w:r w:rsidR="00B46470" w:rsidRPr="004248C0">
        <w:t>lease do not hesitate to contact me at (xxx) xxx-</w:t>
      </w:r>
      <w:proofErr w:type="spellStart"/>
      <w:r w:rsidR="00B46470" w:rsidRPr="004248C0">
        <w:t>xxxx</w:t>
      </w:r>
      <w:proofErr w:type="spellEnd"/>
      <w:r w:rsidR="00B46470" w:rsidRPr="004248C0">
        <w:t>.</w:t>
      </w:r>
    </w:p>
    <w:p w14:paraId="45C68256" w14:textId="09F5E0BC" w:rsidR="00B124E4" w:rsidRDefault="00B124E4" w:rsidP="0001110E"/>
    <w:p w14:paraId="63675CDE" w14:textId="024EF2C2" w:rsidR="0001110E" w:rsidRPr="006A3491" w:rsidRDefault="00E47BE1" w:rsidP="0001110E">
      <w:r w:rsidRPr="006A3491">
        <w:t>Sincerely</w:t>
      </w:r>
      <w:r w:rsidR="00327CDA">
        <w:t>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Financial Advisor Name</w:t>
      </w:r>
    </w:p>
    <w:p w14:paraId="2963516A" w14:textId="77777777" w:rsidR="00900C9F" w:rsidRDefault="00900C9F" w:rsidP="0001110E">
      <w:pPr>
        <w:rPr>
          <w:b/>
          <w:bCs/>
          <w:sz w:val="20"/>
          <w:szCs w:val="20"/>
        </w:rPr>
      </w:pPr>
    </w:p>
    <w:p w14:paraId="06B930C5" w14:textId="6DA00F4F" w:rsidR="004A171B" w:rsidRPr="0001110E" w:rsidRDefault="00900C9F" w:rsidP="00211C44">
      <w:pPr>
        <w:rPr>
          <w:sz w:val="20"/>
          <w:szCs w:val="20"/>
        </w:rPr>
      </w:pPr>
      <w:bookmarkStart w:id="5" w:name="_Hlk37920981"/>
      <w:bookmarkStart w:id="6" w:name="_Hlk42092970"/>
      <w:r w:rsidRPr="00E63C31">
        <w:rPr>
          <w:sz w:val="20"/>
          <w:szCs w:val="20"/>
        </w:rPr>
        <w:t>S</w:t>
      </w:r>
      <w:r>
        <w:rPr>
          <w:sz w:val="20"/>
          <w:szCs w:val="20"/>
        </w:rPr>
        <w:t>ource</w:t>
      </w:r>
      <w:r w:rsidR="00014273">
        <w:rPr>
          <w:sz w:val="20"/>
          <w:szCs w:val="20"/>
        </w:rPr>
        <w:t>s</w:t>
      </w:r>
      <w:r w:rsidRPr="00E63C31">
        <w:rPr>
          <w:sz w:val="20"/>
          <w:szCs w:val="20"/>
        </w:rPr>
        <w:t>:</w:t>
      </w:r>
      <w:r w:rsidRPr="00EE4DAF">
        <w:rPr>
          <w:sz w:val="20"/>
          <w:szCs w:val="20"/>
        </w:rPr>
        <w:t xml:space="preserve"> CI Investments</w:t>
      </w:r>
      <w:r w:rsidR="00006EBC">
        <w:rPr>
          <w:sz w:val="20"/>
          <w:szCs w:val="20"/>
        </w:rPr>
        <w:t xml:space="preserve"> Inc.</w:t>
      </w:r>
      <w:r w:rsidRPr="00EE4DAF">
        <w:rPr>
          <w:sz w:val="20"/>
          <w:szCs w:val="20"/>
        </w:rPr>
        <w:t xml:space="preserve">, </w:t>
      </w:r>
      <w:r w:rsidR="00CF1731">
        <w:rPr>
          <w:sz w:val="20"/>
          <w:szCs w:val="20"/>
        </w:rPr>
        <w:t>marketwatch.com</w:t>
      </w:r>
      <w:r w:rsidR="00A77C4E">
        <w:rPr>
          <w:sz w:val="20"/>
          <w:szCs w:val="20"/>
        </w:rPr>
        <w:t>,</w:t>
      </w:r>
      <w:r w:rsidR="00CF1731">
        <w:rPr>
          <w:sz w:val="20"/>
          <w:szCs w:val="20"/>
        </w:rPr>
        <w:t xml:space="preserve"> fxstreet.com,</w:t>
      </w:r>
      <w:r w:rsidR="00102A72">
        <w:rPr>
          <w:sz w:val="20"/>
          <w:szCs w:val="20"/>
        </w:rPr>
        <w:t xml:space="preserve"> </w:t>
      </w:r>
      <w:r w:rsidR="00CF1731">
        <w:rPr>
          <w:sz w:val="20"/>
          <w:szCs w:val="20"/>
        </w:rPr>
        <w:t>theglobeandmail.com</w:t>
      </w:r>
      <w:r w:rsidR="00B7546A">
        <w:rPr>
          <w:sz w:val="20"/>
          <w:szCs w:val="20"/>
        </w:rPr>
        <w:t xml:space="preserve">, </w:t>
      </w:r>
      <w:bookmarkEnd w:id="5"/>
      <w:r w:rsidR="00CF1731">
        <w:rPr>
          <w:sz w:val="20"/>
          <w:szCs w:val="20"/>
        </w:rPr>
        <w:t>fitchratings.com</w:t>
      </w:r>
      <w:r w:rsidR="00303DA4">
        <w:rPr>
          <w:sz w:val="20"/>
          <w:szCs w:val="20"/>
        </w:rPr>
        <w:t xml:space="preserve">, </w:t>
      </w:r>
      <w:bookmarkEnd w:id="0"/>
      <w:bookmarkEnd w:id="6"/>
      <w:r w:rsidR="00CF1731">
        <w:rPr>
          <w:sz w:val="20"/>
          <w:szCs w:val="20"/>
        </w:rPr>
        <w:t>bostonglobe.com</w:t>
      </w:r>
      <w:r w:rsidR="00B7546A">
        <w:rPr>
          <w:sz w:val="20"/>
          <w:szCs w:val="20"/>
        </w:rPr>
        <w:t xml:space="preserve">, and </w:t>
      </w:r>
      <w:r w:rsidR="00CF1731">
        <w:rPr>
          <w:sz w:val="20"/>
          <w:szCs w:val="20"/>
        </w:rPr>
        <w:t>forbes.com.</w:t>
      </w:r>
    </w:p>
    <w:sectPr w:rsidR="004A171B" w:rsidRPr="0001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FD2D0" w14:textId="77777777" w:rsidR="002F0B7A" w:rsidRDefault="002F0B7A" w:rsidP="00425531">
      <w:pPr>
        <w:spacing w:after="0" w:line="240" w:lineRule="auto"/>
      </w:pPr>
      <w:r>
        <w:separator/>
      </w:r>
    </w:p>
  </w:endnote>
  <w:endnote w:type="continuationSeparator" w:id="0">
    <w:p w14:paraId="76A7929C" w14:textId="77777777" w:rsidR="002F0B7A" w:rsidRDefault="002F0B7A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FFF6C" w14:textId="77777777" w:rsidR="002F0B7A" w:rsidRDefault="002F0B7A" w:rsidP="00425531">
      <w:pPr>
        <w:spacing w:after="0" w:line="240" w:lineRule="auto"/>
      </w:pPr>
      <w:r>
        <w:separator/>
      </w:r>
    </w:p>
  </w:footnote>
  <w:footnote w:type="continuationSeparator" w:id="0">
    <w:p w14:paraId="7FD00DA1" w14:textId="77777777" w:rsidR="002F0B7A" w:rsidRDefault="002F0B7A" w:rsidP="0042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623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124F0"/>
    <w:rsid w:val="00014273"/>
    <w:rsid w:val="00021933"/>
    <w:rsid w:val="00024E67"/>
    <w:rsid w:val="00033890"/>
    <w:rsid w:val="0003539A"/>
    <w:rsid w:val="000370AF"/>
    <w:rsid w:val="00044343"/>
    <w:rsid w:val="00044D68"/>
    <w:rsid w:val="00054CA3"/>
    <w:rsid w:val="00061C15"/>
    <w:rsid w:val="00066044"/>
    <w:rsid w:val="00083033"/>
    <w:rsid w:val="000A4060"/>
    <w:rsid w:val="000B28E5"/>
    <w:rsid w:val="000B2A1D"/>
    <w:rsid w:val="000B2D60"/>
    <w:rsid w:val="000B377D"/>
    <w:rsid w:val="000B5320"/>
    <w:rsid w:val="000B536F"/>
    <w:rsid w:val="000C02E1"/>
    <w:rsid w:val="000C03B0"/>
    <w:rsid w:val="000C2962"/>
    <w:rsid w:val="000D6821"/>
    <w:rsid w:val="000E0706"/>
    <w:rsid w:val="000E5404"/>
    <w:rsid w:val="000E7EAC"/>
    <w:rsid w:val="000F25D0"/>
    <w:rsid w:val="00100008"/>
    <w:rsid w:val="00102A72"/>
    <w:rsid w:val="00105505"/>
    <w:rsid w:val="001075F9"/>
    <w:rsid w:val="00112A99"/>
    <w:rsid w:val="00114EE0"/>
    <w:rsid w:val="00126725"/>
    <w:rsid w:val="001336DD"/>
    <w:rsid w:val="00133886"/>
    <w:rsid w:val="00151F73"/>
    <w:rsid w:val="001603BC"/>
    <w:rsid w:val="001643FF"/>
    <w:rsid w:val="00166A44"/>
    <w:rsid w:val="00167081"/>
    <w:rsid w:val="0017519D"/>
    <w:rsid w:val="00175F32"/>
    <w:rsid w:val="00183150"/>
    <w:rsid w:val="00183FC1"/>
    <w:rsid w:val="00184BE3"/>
    <w:rsid w:val="0019187C"/>
    <w:rsid w:val="0019198B"/>
    <w:rsid w:val="00197F5D"/>
    <w:rsid w:val="001A1337"/>
    <w:rsid w:val="001A42B3"/>
    <w:rsid w:val="001A6170"/>
    <w:rsid w:val="001B09FF"/>
    <w:rsid w:val="001B0E73"/>
    <w:rsid w:val="001B555E"/>
    <w:rsid w:val="001C74BE"/>
    <w:rsid w:val="001D7F47"/>
    <w:rsid w:val="001E467A"/>
    <w:rsid w:val="001E5C1B"/>
    <w:rsid w:val="001F01B9"/>
    <w:rsid w:val="001F28CF"/>
    <w:rsid w:val="001F4039"/>
    <w:rsid w:val="001F4754"/>
    <w:rsid w:val="002023C8"/>
    <w:rsid w:val="00205353"/>
    <w:rsid w:val="0020536B"/>
    <w:rsid w:val="00207F4A"/>
    <w:rsid w:val="0021002E"/>
    <w:rsid w:val="00211C44"/>
    <w:rsid w:val="00214E0F"/>
    <w:rsid w:val="00227FCD"/>
    <w:rsid w:val="002319BC"/>
    <w:rsid w:val="00246C4F"/>
    <w:rsid w:val="00255C87"/>
    <w:rsid w:val="00263175"/>
    <w:rsid w:val="00263D9B"/>
    <w:rsid w:val="002709E9"/>
    <w:rsid w:val="00272840"/>
    <w:rsid w:val="00274DB6"/>
    <w:rsid w:val="00285245"/>
    <w:rsid w:val="002A219E"/>
    <w:rsid w:val="002A3B8C"/>
    <w:rsid w:val="002A42BE"/>
    <w:rsid w:val="002B6360"/>
    <w:rsid w:val="002D576C"/>
    <w:rsid w:val="002E16A8"/>
    <w:rsid w:val="002E3AF3"/>
    <w:rsid w:val="002F0A75"/>
    <w:rsid w:val="002F0B7A"/>
    <w:rsid w:val="002F21F1"/>
    <w:rsid w:val="002F3354"/>
    <w:rsid w:val="00303DA4"/>
    <w:rsid w:val="00320E59"/>
    <w:rsid w:val="00323F3A"/>
    <w:rsid w:val="00327CDA"/>
    <w:rsid w:val="00337263"/>
    <w:rsid w:val="00337C28"/>
    <w:rsid w:val="00352D0A"/>
    <w:rsid w:val="00353634"/>
    <w:rsid w:val="0036041E"/>
    <w:rsid w:val="0038248D"/>
    <w:rsid w:val="00382612"/>
    <w:rsid w:val="00384462"/>
    <w:rsid w:val="00385C1B"/>
    <w:rsid w:val="0039029B"/>
    <w:rsid w:val="00390C35"/>
    <w:rsid w:val="00390E7C"/>
    <w:rsid w:val="00393924"/>
    <w:rsid w:val="00395466"/>
    <w:rsid w:val="003A0589"/>
    <w:rsid w:val="003A2AD5"/>
    <w:rsid w:val="003B38E0"/>
    <w:rsid w:val="003D2F26"/>
    <w:rsid w:val="003D30A0"/>
    <w:rsid w:val="003D3673"/>
    <w:rsid w:val="003D4906"/>
    <w:rsid w:val="003E020F"/>
    <w:rsid w:val="00412F09"/>
    <w:rsid w:val="00420514"/>
    <w:rsid w:val="004245A6"/>
    <w:rsid w:val="004248C0"/>
    <w:rsid w:val="00425531"/>
    <w:rsid w:val="00430E28"/>
    <w:rsid w:val="00442116"/>
    <w:rsid w:val="00442646"/>
    <w:rsid w:val="0044275C"/>
    <w:rsid w:val="00444D08"/>
    <w:rsid w:val="004635E4"/>
    <w:rsid w:val="00463F28"/>
    <w:rsid w:val="00464AC8"/>
    <w:rsid w:val="00466D15"/>
    <w:rsid w:val="00466D1D"/>
    <w:rsid w:val="00470D4C"/>
    <w:rsid w:val="00477AB9"/>
    <w:rsid w:val="00477F00"/>
    <w:rsid w:val="004808CD"/>
    <w:rsid w:val="00485E23"/>
    <w:rsid w:val="00486518"/>
    <w:rsid w:val="00486DC3"/>
    <w:rsid w:val="0049681A"/>
    <w:rsid w:val="004A115E"/>
    <w:rsid w:val="004A171B"/>
    <w:rsid w:val="004B035B"/>
    <w:rsid w:val="004B2BF3"/>
    <w:rsid w:val="004B3F33"/>
    <w:rsid w:val="004B6EEC"/>
    <w:rsid w:val="004C04C4"/>
    <w:rsid w:val="004D5A0B"/>
    <w:rsid w:val="004D72F2"/>
    <w:rsid w:val="004F0B52"/>
    <w:rsid w:val="004F22CC"/>
    <w:rsid w:val="004F38B7"/>
    <w:rsid w:val="00502C4A"/>
    <w:rsid w:val="00507BDD"/>
    <w:rsid w:val="00510F84"/>
    <w:rsid w:val="005163F6"/>
    <w:rsid w:val="005209E6"/>
    <w:rsid w:val="0052302B"/>
    <w:rsid w:val="00523F8A"/>
    <w:rsid w:val="00526515"/>
    <w:rsid w:val="00527C3B"/>
    <w:rsid w:val="00545FE4"/>
    <w:rsid w:val="0055282A"/>
    <w:rsid w:val="005655FE"/>
    <w:rsid w:val="00571B8D"/>
    <w:rsid w:val="005822C5"/>
    <w:rsid w:val="00590B8B"/>
    <w:rsid w:val="00592172"/>
    <w:rsid w:val="005957DE"/>
    <w:rsid w:val="005A1122"/>
    <w:rsid w:val="005A3ECF"/>
    <w:rsid w:val="005A74DC"/>
    <w:rsid w:val="005B48D6"/>
    <w:rsid w:val="005B599F"/>
    <w:rsid w:val="005C16C8"/>
    <w:rsid w:val="005C2D3D"/>
    <w:rsid w:val="005C4A56"/>
    <w:rsid w:val="005D4974"/>
    <w:rsid w:val="005D53A2"/>
    <w:rsid w:val="005D5CBD"/>
    <w:rsid w:val="005E2A5C"/>
    <w:rsid w:val="005E718D"/>
    <w:rsid w:val="005E7983"/>
    <w:rsid w:val="005F36BF"/>
    <w:rsid w:val="005F37D5"/>
    <w:rsid w:val="006158F0"/>
    <w:rsid w:val="0062316D"/>
    <w:rsid w:val="00623C8D"/>
    <w:rsid w:val="00630AA8"/>
    <w:rsid w:val="00636098"/>
    <w:rsid w:val="00636D47"/>
    <w:rsid w:val="00650B3B"/>
    <w:rsid w:val="006540FB"/>
    <w:rsid w:val="00660148"/>
    <w:rsid w:val="0066073F"/>
    <w:rsid w:val="0066649B"/>
    <w:rsid w:val="006678CF"/>
    <w:rsid w:val="00671EF3"/>
    <w:rsid w:val="00672607"/>
    <w:rsid w:val="00672CB6"/>
    <w:rsid w:val="00675A72"/>
    <w:rsid w:val="00675C41"/>
    <w:rsid w:val="006A3491"/>
    <w:rsid w:val="006A46C9"/>
    <w:rsid w:val="006A61DB"/>
    <w:rsid w:val="006C21B5"/>
    <w:rsid w:val="006C341D"/>
    <w:rsid w:val="006C3B2A"/>
    <w:rsid w:val="006C7FE6"/>
    <w:rsid w:val="006D23C2"/>
    <w:rsid w:val="006E5AD0"/>
    <w:rsid w:val="006F143B"/>
    <w:rsid w:val="007008B0"/>
    <w:rsid w:val="00705F48"/>
    <w:rsid w:val="00713F92"/>
    <w:rsid w:val="00715CA5"/>
    <w:rsid w:val="00726A42"/>
    <w:rsid w:val="00727601"/>
    <w:rsid w:val="0073419B"/>
    <w:rsid w:val="00734544"/>
    <w:rsid w:val="007361E4"/>
    <w:rsid w:val="00743980"/>
    <w:rsid w:val="00751E58"/>
    <w:rsid w:val="00755C18"/>
    <w:rsid w:val="00755DD4"/>
    <w:rsid w:val="00756978"/>
    <w:rsid w:val="00764DF5"/>
    <w:rsid w:val="00771688"/>
    <w:rsid w:val="00786782"/>
    <w:rsid w:val="00794371"/>
    <w:rsid w:val="00796A41"/>
    <w:rsid w:val="007A2B1C"/>
    <w:rsid w:val="007B012D"/>
    <w:rsid w:val="007B1BAD"/>
    <w:rsid w:val="007C50F8"/>
    <w:rsid w:val="007D3A8B"/>
    <w:rsid w:val="007E64EF"/>
    <w:rsid w:val="007F1869"/>
    <w:rsid w:val="00801C03"/>
    <w:rsid w:val="0080713D"/>
    <w:rsid w:val="0081326D"/>
    <w:rsid w:val="008236D7"/>
    <w:rsid w:val="0082395D"/>
    <w:rsid w:val="008273C1"/>
    <w:rsid w:val="00827A90"/>
    <w:rsid w:val="008348B2"/>
    <w:rsid w:val="008370E6"/>
    <w:rsid w:val="00841D9D"/>
    <w:rsid w:val="00844573"/>
    <w:rsid w:val="0085253C"/>
    <w:rsid w:val="00852906"/>
    <w:rsid w:val="00853731"/>
    <w:rsid w:val="0085633C"/>
    <w:rsid w:val="00857328"/>
    <w:rsid w:val="008616B1"/>
    <w:rsid w:val="00862061"/>
    <w:rsid w:val="0086769A"/>
    <w:rsid w:val="00875762"/>
    <w:rsid w:val="00887332"/>
    <w:rsid w:val="00892525"/>
    <w:rsid w:val="0089503B"/>
    <w:rsid w:val="00895A34"/>
    <w:rsid w:val="0089677E"/>
    <w:rsid w:val="008A40EB"/>
    <w:rsid w:val="008B2B93"/>
    <w:rsid w:val="008B333B"/>
    <w:rsid w:val="008D191F"/>
    <w:rsid w:val="008D2035"/>
    <w:rsid w:val="008D2699"/>
    <w:rsid w:val="008E3B38"/>
    <w:rsid w:val="008E4D5F"/>
    <w:rsid w:val="008E5D72"/>
    <w:rsid w:val="008E7E1F"/>
    <w:rsid w:val="008F3C0E"/>
    <w:rsid w:val="008F62FA"/>
    <w:rsid w:val="008F76E8"/>
    <w:rsid w:val="00900C9F"/>
    <w:rsid w:val="00912377"/>
    <w:rsid w:val="00920B30"/>
    <w:rsid w:val="00922DCF"/>
    <w:rsid w:val="00923DB7"/>
    <w:rsid w:val="00924A5A"/>
    <w:rsid w:val="00930185"/>
    <w:rsid w:val="009333DF"/>
    <w:rsid w:val="00936DE5"/>
    <w:rsid w:val="00941C21"/>
    <w:rsid w:val="00943AF7"/>
    <w:rsid w:val="00946549"/>
    <w:rsid w:val="00961539"/>
    <w:rsid w:val="009671FA"/>
    <w:rsid w:val="0098284C"/>
    <w:rsid w:val="00982BCF"/>
    <w:rsid w:val="009847B3"/>
    <w:rsid w:val="00984A3C"/>
    <w:rsid w:val="00984DA1"/>
    <w:rsid w:val="00984F6A"/>
    <w:rsid w:val="00986848"/>
    <w:rsid w:val="009920D0"/>
    <w:rsid w:val="009938B8"/>
    <w:rsid w:val="009A2BCD"/>
    <w:rsid w:val="009A35E8"/>
    <w:rsid w:val="009A39E4"/>
    <w:rsid w:val="009A5B11"/>
    <w:rsid w:val="009A7A35"/>
    <w:rsid w:val="009A7CA5"/>
    <w:rsid w:val="009B30FE"/>
    <w:rsid w:val="009C37AD"/>
    <w:rsid w:val="009D0046"/>
    <w:rsid w:val="009D7228"/>
    <w:rsid w:val="009F2A39"/>
    <w:rsid w:val="009F452D"/>
    <w:rsid w:val="00A0538F"/>
    <w:rsid w:val="00A11024"/>
    <w:rsid w:val="00A11AE4"/>
    <w:rsid w:val="00A23A65"/>
    <w:rsid w:val="00A2522D"/>
    <w:rsid w:val="00A32FDF"/>
    <w:rsid w:val="00A41AD0"/>
    <w:rsid w:val="00A43826"/>
    <w:rsid w:val="00A43B6A"/>
    <w:rsid w:val="00A4416D"/>
    <w:rsid w:val="00A5188A"/>
    <w:rsid w:val="00A56DB8"/>
    <w:rsid w:val="00A6634A"/>
    <w:rsid w:val="00A70369"/>
    <w:rsid w:val="00A77C4E"/>
    <w:rsid w:val="00A845D8"/>
    <w:rsid w:val="00A87782"/>
    <w:rsid w:val="00A90A13"/>
    <w:rsid w:val="00A919F4"/>
    <w:rsid w:val="00A92785"/>
    <w:rsid w:val="00A93D5D"/>
    <w:rsid w:val="00A96C0A"/>
    <w:rsid w:val="00A97FA8"/>
    <w:rsid w:val="00AA23ED"/>
    <w:rsid w:val="00AA5968"/>
    <w:rsid w:val="00AB4941"/>
    <w:rsid w:val="00AB6C81"/>
    <w:rsid w:val="00AC0DD6"/>
    <w:rsid w:val="00AC1105"/>
    <w:rsid w:val="00AC541D"/>
    <w:rsid w:val="00AD5FE7"/>
    <w:rsid w:val="00AE2262"/>
    <w:rsid w:val="00AE6A3C"/>
    <w:rsid w:val="00AF60FE"/>
    <w:rsid w:val="00B0693A"/>
    <w:rsid w:val="00B07564"/>
    <w:rsid w:val="00B103A8"/>
    <w:rsid w:val="00B1069F"/>
    <w:rsid w:val="00B124E4"/>
    <w:rsid w:val="00B13CF9"/>
    <w:rsid w:val="00B1638E"/>
    <w:rsid w:val="00B31C17"/>
    <w:rsid w:val="00B3393E"/>
    <w:rsid w:val="00B35CDE"/>
    <w:rsid w:val="00B40153"/>
    <w:rsid w:val="00B4298D"/>
    <w:rsid w:val="00B4360F"/>
    <w:rsid w:val="00B46470"/>
    <w:rsid w:val="00B54361"/>
    <w:rsid w:val="00B5473B"/>
    <w:rsid w:val="00B70BA7"/>
    <w:rsid w:val="00B70EFA"/>
    <w:rsid w:val="00B72A2E"/>
    <w:rsid w:val="00B7393F"/>
    <w:rsid w:val="00B7546A"/>
    <w:rsid w:val="00BA4751"/>
    <w:rsid w:val="00BB0967"/>
    <w:rsid w:val="00BB49F1"/>
    <w:rsid w:val="00BE000C"/>
    <w:rsid w:val="00BE04C3"/>
    <w:rsid w:val="00BE2594"/>
    <w:rsid w:val="00BE7C06"/>
    <w:rsid w:val="00C025B5"/>
    <w:rsid w:val="00C02A7C"/>
    <w:rsid w:val="00C04BAC"/>
    <w:rsid w:val="00C14664"/>
    <w:rsid w:val="00C17263"/>
    <w:rsid w:val="00C178A9"/>
    <w:rsid w:val="00C214D6"/>
    <w:rsid w:val="00C36551"/>
    <w:rsid w:val="00C36FBD"/>
    <w:rsid w:val="00C4270A"/>
    <w:rsid w:val="00C42994"/>
    <w:rsid w:val="00C5326B"/>
    <w:rsid w:val="00C602EB"/>
    <w:rsid w:val="00C61AD5"/>
    <w:rsid w:val="00C755B4"/>
    <w:rsid w:val="00C75AEF"/>
    <w:rsid w:val="00C838AC"/>
    <w:rsid w:val="00C84A02"/>
    <w:rsid w:val="00CA24A4"/>
    <w:rsid w:val="00CA3FBF"/>
    <w:rsid w:val="00CC046C"/>
    <w:rsid w:val="00CD2172"/>
    <w:rsid w:val="00CE1B43"/>
    <w:rsid w:val="00CE44BE"/>
    <w:rsid w:val="00CE789D"/>
    <w:rsid w:val="00CF1731"/>
    <w:rsid w:val="00D1599C"/>
    <w:rsid w:val="00D159FE"/>
    <w:rsid w:val="00D2003B"/>
    <w:rsid w:val="00D20603"/>
    <w:rsid w:val="00D20786"/>
    <w:rsid w:val="00D23169"/>
    <w:rsid w:val="00D24E92"/>
    <w:rsid w:val="00D37205"/>
    <w:rsid w:val="00D43477"/>
    <w:rsid w:val="00D44FC6"/>
    <w:rsid w:val="00D52B00"/>
    <w:rsid w:val="00D52B12"/>
    <w:rsid w:val="00D54582"/>
    <w:rsid w:val="00D720BA"/>
    <w:rsid w:val="00D80B5E"/>
    <w:rsid w:val="00D80D91"/>
    <w:rsid w:val="00D909F2"/>
    <w:rsid w:val="00DA0993"/>
    <w:rsid w:val="00DA784C"/>
    <w:rsid w:val="00DB37ED"/>
    <w:rsid w:val="00DC6021"/>
    <w:rsid w:val="00DD43B0"/>
    <w:rsid w:val="00DD4500"/>
    <w:rsid w:val="00DE2BFC"/>
    <w:rsid w:val="00DE3457"/>
    <w:rsid w:val="00DF08EE"/>
    <w:rsid w:val="00E01ABD"/>
    <w:rsid w:val="00E12B84"/>
    <w:rsid w:val="00E13C38"/>
    <w:rsid w:val="00E15393"/>
    <w:rsid w:val="00E2202C"/>
    <w:rsid w:val="00E31AB1"/>
    <w:rsid w:val="00E44A5C"/>
    <w:rsid w:val="00E47BE1"/>
    <w:rsid w:val="00E5027E"/>
    <w:rsid w:val="00E5538C"/>
    <w:rsid w:val="00E5614B"/>
    <w:rsid w:val="00E61301"/>
    <w:rsid w:val="00E63B26"/>
    <w:rsid w:val="00E64B9F"/>
    <w:rsid w:val="00E72FFC"/>
    <w:rsid w:val="00E85254"/>
    <w:rsid w:val="00E91667"/>
    <w:rsid w:val="00E93FD5"/>
    <w:rsid w:val="00EA3E23"/>
    <w:rsid w:val="00EB7C3E"/>
    <w:rsid w:val="00EC0B33"/>
    <w:rsid w:val="00EC0D1D"/>
    <w:rsid w:val="00EC2A8D"/>
    <w:rsid w:val="00ED2E98"/>
    <w:rsid w:val="00ED730E"/>
    <w:rsid w:val="00EF15A4"/>
    <w:rsid w:val="00EF4080"/>
    <w:rsid w:val="00EF5533"/>
    <w:rsid w:val="00F00E28"/>
    <w:rsid w:val="00F017B3"/>
    <w:rsid w:val="00F05CC8"/>
    <w:rsid w:val="00F12397"/>
    <w:rsid w:val="00F21F79"/>
    <w:rsid w:val="00F42EA7"/>
    <w:rsid w:val="00F431A4"/>
    <w:rsid w:val="00F4503E"/>
    <w:rsid w:val="00F52284"/>
    <w:rsid w:val="00F55D2A"/>
    <w:rsid w:val="00F55E72"/>
    <w:rsid w:val="00F60CF8"/>
    <w:rsid w:val="00F61459"/>
    <w:rsid w:val="00F64A27"/>
    <w:rsid w:val="00F70C81"/>
    <w:rsid w:val="00F76C6B"/>
    <w:rsid w:val="00F76E0B"/>
    <w:rsid w:val="00F80E3B"/>
    <w:rsid w:val="00F8111C"/>
    <w:rsid w:val="00F81AD8"/>
    <w:rsid w:val="00F831AC"/>
    <w:rsid w:val="00F87B57"/>
    <w:rsid w:val="00F93294"/>
    <w:rsid w:val="00F95C01"/>
    <w:rsid w:val="00F97508"/>
    <w:rsid w:val="00FA262D"/>
    <w:rsid w:val="00FB070C"/>
    <w:rsid w:val="00FB1745"/>
    <w:rsid w:val="00FB1ED6"/>
    <w:rsid w:val="00FB2C5E"/>
    <w:rsid w:val="00FC2297"/>
    <w:rsid w:val="00FC7EE7"/>
    <w:rsid w:val="00FE0FA3"/>
    <w:rsid w:val="00FE39D1"/>
    <w:rsid w:val="00FF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FC6DE282A941A8295ACCC7235069" ma:contentTypeVersion="7" ma:contentTypeDescription="Create a new document." ma:contentTypeScope="" ma:versionID="31b7c443788aa216659ab0090720e287">
  <xsd:schema xmlns:xsd="http://www.w3.org/2001/XMLSchema" xmlns:xs="http://www.w3.org/2001/XMLSchema" xmlns:p="http://schemas.microsoft.com/office/2006/metadata/properties" xmlns:ns3="23a5f2b9-e15f-4389-bf5f-f59e8759ab59" xmlns:ns4="016c5d98-54b0-4955-9281-cfa2535f864a" targetNamespace="http://schemas.microsoft.com/office/2006/metadata/properties" ma:root="true" ma:fieldsID="57d6880e31804d9cf22468ea071ff6c3" ns3:_="" ns4:_="">
    <xsd:import namespace="23a5f2b9-e15f-4389-bf5f-f59e8759ab59"/>
    <xsd:import namespace="016c5d98-54b0-4955-9281-cfa2535f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f2b9-e15f-4389-bf5f-f59e8759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5d98-54b0-4955-9281-cfa2535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EF00-912B-4C2B-8F36-231CBF687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F9C37-72AE-40B4-96FB-A32640088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60708-30D0-468F-9203-26F072D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f2b9-e15f-4389-bf5f-f59e8759ab59"/>
    <ds:schemaRef ds:uri="016c5d98-54b0-4955-9281-cfa2535f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4B2C7-3DAF-4148-9832-334832B3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2020-06-26T18:53:00Z</dcterms:created>
  <dcterms:modified xsi:type="dcterms:W3CDTF">2020-06-26T18:53:00Z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0x010100790CFC6DE282A941A8295ACCC7235069</vt:lpwstr>
  </property>
</Properties>
</file>